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2D0" w:rsidRPr="00E632D0" w:rsidRDefault="00E632D0" w:rsidP="00E632D0">
      <w:pPr>
        <w:shd w:val="clear" w:color="auto" w:fill="FFFFFF"/>
        <w:spacing w:after="450" w:line="240" w:lineRule="auto"/>
        <w:jc w:val="both"/>
        <w:outlineLvl w:val="0"/>
        <w:rPr>
          <w:rFonts w:ascii="HeliosCondC" w:eastAsia="Times New Roman" w:hAnsi="HeliosCondC" w:cs="Arial"/>
          <w:color w:val="182D88"/>
          <w:kern w:val="36"/>
          <w:sz w:val="42"/>
          <w:szCs w:val="42"/>
          <w:lang w:eastAsia="ru-RU"/>
        </w:rPr>
      </w:pPr>
      <w:r w:rsidRPr="00E632D0">
        <w:rPr>
          <w:rFonts w:ascii="HeliosCondC" w:eastAsia="Times New Roman" w:hAnsi="HeliosCondC" w:cs="Arial"/>
          <w:color w:val="182D88"/>
          <w:kern w:val="36"/>
          <w:sz w:val="42"/>
          <w:szCs w:val="42"/>
          <w:lang w:eastAsia="ru-RU"/>
        </w:rPr>
        <w:t>Перечень и порядок выполнения мероприятий, необходимых для осуществления технологического присоединения к электрическим сетям для физических лиц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Технологическое присоединение энергопринимающих устройств потребителей электрической энергии, объектов по производству электрической энергии, сетевых организаций к электрическим сетям осуществляется согласно Федеральному закону "Об электроэнергетике" (№ 35-ФЗ от 26.03.2003г.) в порядке, определенном «Правилами технологического присоединения энергопринимающи</w:t>
      </w:r>
      <w:bookmarkStart w:id="0" w:name="_GoBack"/>
      <w:bookmarkEnd w:id="0"/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 декабря 2004 г. N 861 (далее Правила).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Технологическое присоединение осуществляется на основании договора, заключаемого между сетевой организацией и заявителем (физическим, юридическим лицом, индивидуальным предпринимателем). Срок технологического присоединения в договоре устанавливается в соответствии с Правилами.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Правилами установлена следующая процедура технологического присоединения (п.7 Правил):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Ø подача заявки о намерении осуществить технологическое присоединение, и увеличение объема максимальной мощности, а также изменить категорию надежности электроснабжения, точки присоединения, вида производственной деятельности, не влекущие пересмотр (увеличение) величины максимальной мощности, но изменяющие схему внешнего электроснабжения таких энергопринимающих устройств заявителя;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Ø заключение договора;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Ø выполнение сторонами договора мероприятий, предусмотренных договором;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Ø получение разрешения органа федерального государственного энергетического надзора на допуск к эксплуатации объектов заявителя за исключением объектов: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заявителей, подавших заявку в целях временного технологического присоединения;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физических лиц - до 15 кВт (с учетом ранее присоединенной мощности), для бытовых и иных нужд, не связанных с предпринимательской деятельностью, по третьей категории надежности (одному источнику электроснабжения); 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юр. лиц и индивидуальных предпринимателей в соответствии с категорией заявителей, определенных в п. 7 г) Правил.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Ø осуществление сетевой организацией фактического присоединения объектов заявителя к электрическим сетям.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(энергопринимающих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Ø 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"включено");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Ø составление акта об осуществлении технологического присоединения, акта разграничения границ балансовой принадлежности сторон, акта разграничения эксплуатационной ответственности сторон, а также акта согласования технологической и (или) аварийной брони (для заявителей, указанных в пункте 14(2) Правил).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Мероприятия по технологическому присоединению включают в себя (п.18 Правил):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подготовку, выдачу сетевой организацией технических условий и их согласование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системах), а в случае выдачи технических условий электростанцией - согласование их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 и со смежными сетевыми организациями;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разработку сетевой организацией проектной документации согласно обязательствам, предусмотренным техническими условиями;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разработку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выполнение технических условий заявителем и сетевой организацией,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условиями;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д) проверку выполнения заявителем и сетевой организацией технических условий в соответствии с </w:t>
      </w:r>
      <w:hyperlink r:id="rId4" w:anchor="P1368" w:history="1">
        <w:r w:rsidRPr="00E632D0">
          <w:rPr>
            <w:rFonts w:ascii="Arial" w:eastAsia="Times New Roman" w:hAnsi="Arial" w:cs="Arial"/>
            <w:color w:val="182D88"/>
            <w:sz w:val="21"/>
            <w:szCs w:val="21"/>
            <w:u w:val="single"/>
            <w:lang w:eastAsia="ru-RU"/>
          </w:rPr>
          <w:t>разделом IX</w:t>
        </w:r>
      </w:hyperlink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Правил, а также допуск к эксплуатации установленного в процессе технологического присоединения прибора учета электрической энергии, включающий составление акта допуска прибора учета к эксплуатации в </w:t>
      </w:r>
      <w:hyperlink r:id="rId5" w:history="1">
        <w:r w:rsidRPr="00E632D0">
          <w:rPr>
            <w:rFonts w:ascii="Arial" w:eastAsia="Times New Roman" w:hAnsi="Arial" w:cs="Arial"/>
            <w:color w:val="182D88"/>
            <w:sz w:val="21"/>
            <w:szCs w:val="21"/>
            <w:u w:val="single"/>
            <w:lang w:eastAsia="ru-RU"/>
          </w:rPr>
          <w:t>порядке</w:t>
        </w:r>
      </w:hyperlink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предусмотренном Основными положениями функционирования розничных рынков электрической энергии</w:t>
      </w:r>
      <w:hyperlink r:id="rId6" w:anchor="_ftn1" w:history="1">
        <w:r w:rsidRPr="00E632D0">
          <w:rPr>
            <w:rFonts w:ascii="Arial" w:eastAsia="Times New Roman" w:hAnsi="Arial" w:cs="Arial"/>
            <w:color w:val="182D88"/>
            <w:sz w:val="21"/>
            <w:szCs w:val="21"/>
            <w:u w:val="single"/>
            <w:lang w:eastAsia="ru-RU"/>
          </w:rPr>
          <w:t>[1]</w:t>
        </w:r>
      </w:hyperlink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порядке, которые предусмотрены </w:t>
      </w:r>
      <w:hyperlink r:id="rId7" w:history="1">
        <w:r w:rsidRPr="00E632D0">
          <w:rPr>
            <w:rFonts w:ascii="Arial" w:eastAsia="Times New Roman" w:hAnsi="Arial" w:cs="Arial"/>
            <w:color w:val="182D88"/>
            <w:sz w:val="21"/>
            <w:szCs w:val="21"/>
            <w:u w:val="single"/>
            <w:lang w:eastAsia="ru-RU"/>
          </w:rPr>
          <w:t>разделом X</w:t>
        </w:r>
      </w:hyperlink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Основных положений функционирования розничных рынков электрической энергии, обеспечить приглашение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(мощности)), либо субъекта розничного рынка, с которым заявителем заключен указанный договор, для участия в процедуре допуска в эксплуатацию установленного в процессе технологического присоединения прибора учета электрической энергии, а также иных субъектов розничных рынков, приглашение которых для допуска в эксплуатацию прибора учета является обязательным в соответствии с </w:t>
      </w:r>
      <w:hyperlink r:id="rId8" w:history="1">
        <w:r w:rsidRPr="00E632D0">
          <w:rPr>
            <w:rFonts w:ascii="Arial" w:eastAsia="Times New Roman" w:hAnsi="Arial" w:cs="Arial"/>
            <w:color w:val="182D88"/>
            <w:sz w:val="21"/>
            <w:szCs w:val="21"/>
            <w:u w:val="single"/>
            <w:lang w:eastAsia="ru-RU"/>
          </w:rPr>
          <w:t>Основными положениями</w:t>
        </w:r>
      </w:hyperlink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функционирования розничных рынков электрической энергии. Сетевая организация несет перед заявителем ответственность за </w:t>
      </w:r>
      <w:proofErr w:type="spellStart"/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неприглашение</w:t>
      </w:r>
      <w:proofErr w:type="spellEnd"/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процедуру допуска прибора учета электрической энергии в эксплуатацию указанных в настоящем подпункте субъектов розничных рынков в сроки и в порядке, которые предусмотрены </w:t>
      </w:r>
      <w:hyperlink r:id="rId9" w:history="1">
        <w:r w:rsidRPr="00E632D0">
          <w:rPr>
            <w:rFonts w:ascii="Arial" w:eastAsia="Times New Roman" w:hAnsi="Arial" w:cs="Arial"/>
            <w:color w:val="182D88"/>
            <w:sz w:val="21"/>
            <w:szCs w:val="21"/>
            <w:u w:val="single"/>
            <w:lang w:eastAsia="ru-RU"/>
          </w:rPr>
          <w:t>разделом X</w:t>
        </w:r>
      </w:hyperlink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Основных положений функционирования розничных рынков электрической энергии, и должна возместить заявителю расходы, понесенные им в результате применения расчетных способов определения объемов </w:t>
      </w:r>
      <w:proofErr w:type="spellStart"/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безучетного</w:t>
      </w:r>
      <w:proofErr w:type="spellEnd"/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потребления электрической энергии в отношении соответствующих энергопринимающих устройств.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осмотр (обследование) присоединяемых энергопринимающих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устройств, а также соответствующего субъекта оперативно-диспетчерского управления в случае, если технические условия подлежат в соответствии с Правилами согласованию с таким субъектом оперативно-диспетчерского управления (за исключением заявителей: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физических лиц, подавших заявку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присоединения) которые используются для бытовых нужд и иных нужд, не связанных с осуществлением предпринимательской деятельности и электроснабжение которых по одному источнику, а также заявителей суммарная максимальная мощность которых не превышает 150 кВт с номинальным напряжением до 1000 В по одному источнику электроснабжения;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физ. лиц, подавших заявку на временное присоединение: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юр. лиц и индивидуальных предпринимателей в соответствии с п.18 е) Правил).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выдачей заявителю акта осмотра электроустановки по форме, утверждаемой органом федерального государственного энергетического надзора;</w:t>
      </w:r>
    </w:p>
    <w:p w:rsidR="00E632D0" w:rsidRPr="00E632D0" w:rsidRDefault="00E632D0" w:rsidP="00E632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ж) 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"включено"). </w:t>
      </w:r>
    </w:p>
    <w:p w:rsidR="00E632D0" w:rsidRDefault="00E632D0" w:rsidP="00E632D0">
      <w:pPr>
        <w:shd w:val="clear" w:color="auto" w:fill="FFFFFF"/>
        <w:spacing w:after="450" w:line="240" w:lineRule="auto"/>
        <w:jc w:val="both"/>
        <w:outlineLvl w:val="0"/>
        <w:rPr>
          <w:rFonts w:ascii="HeliosCondC" w:eastAsia="Times New Roman" w:hAnsi="HeliosCondC" w:cs="Arial"/>
          <w:color w:val="182D88"/>
          <w:kern w:val="36"/>
          <w:sz w:val="42"/>
          <w:szCs w:val="42"/>
          <w:lang w:eastAsia="ru-RU"/>
        </w:rPr>
      </w:pPr>
    </w:p>
    <w:p w:rsidR="00E632D0" w:rsidRPr="00E632D0" w:rsidRDefault="00E632D0" w:rsidP="00E632D0">
      <w:pPr>
        <w:shd w:val="clear" w:color="auto" w:fill="FFFFFF"/>
        <w:spacing w:after="450" w:line="240" w:lineRule="auto"/>
        <w:jc w:val="both"/>
        <w:outlineLvl w:val="0"/>
        <w:rPr>
          <w:rFonts w:ascii="HeliosCondC" w:eastAsia="Times New Roman" w:hAnsi="HeliosCondC" w:cs="Arial"/>
          <w:color w:val="182D88"/>
          <w:kern w:val="36"/>
          <w:sz w:val="42"/>
          <w:szCs w:val="42"/>
          <w:lang w:eastAsia="ru-RU"/>
        </w:rPr>
      </w:pPr>
      <w:r w:rsidRPr="00E632D0">
        <w:rPr>
          <w:rFonts w:ascii="HeliosCondC" w:eastAsia="Times New Roman" w:hAnsi="HeliosCondC" w:cs="Arial"/>
          <w:color w:val="182D88"/>
          <w:kern w:val="36"/>
          <w:sz w:val="42"/>
          <w:szCs w:val="42"/>
          <w:lang w:eastAsia="ru-RU"/>
        </w:rPr>
        <w:t>Перечень и порядок выполнения мероприятий, необходимых для осуществления технологического присоединения к электрическим сетям для юридических лиц и индивидуальных предпринимателей</w:t>
      </w:r>
    </w:p>
    <w:p w:rsidR="00E632D0" w:rsidRPr="00E632D0" w:rsidRDefault="00E632D0" w:rsidP="00E632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 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Технологическое присоединение энергопринимающих устройств потребителей электрической энергии, объектов по производству электрической энергии, сетевых организаций к электрическим сетям осуществляется согласно Федеральному закону "Об электроэнергетике" (№ 35-ФЗ от 26.03.2003г.) в порядке, определенном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 декабря 2004 г. N 861 (далее Правила).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Технологическое присоединение осуществляется на основании договора, заключаемого между сетевой организацией и заявителем (физическим, юридическим лицом, индивидуальным предпринимателем). Срок технологического присоединения в договоре устанавливается в соответствии с Правилами.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Правилами установлена следующая процедура технологического присоединения: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Ø подача заявки о намерении осуществить технологическое присоединение, и увеличение объема максимальной мощности, а также изменения категории надежности электроснабжения, точки присоединения, вида производственной деятельности, не влекущие пересмотр (увеличение) величины максимальной мощности, но изменяющие схему внешнего электроснабжения таких энергопринимающих устройств заявителя;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Ø заключение договора;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Ø выполнение сторонами договора мероприятий, предусмотренных договором;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Ø получение разрешения органа федерального государственного энергетического надзора на допуск к эксплуатации объектов заявителя (за исключением объектов лиц: юридических лиц и индивидуальных предпринимателей с максимальной мощностью от 150 кВт и менее 670 кВт, технологическое присоединение энергопринимающих устройств которых осуществляется по третьей категории надежности (по одному источнику электроснабжения) к электрическим сетям классом напряжения до 20 </w:t>
      </w:r>
      <w:proofErr w:type="spellStart"/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</w:t>
      </w:r>
      <w:proofErr w:type="spellEnd"/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включительно; юридического лица или индивидуального предпринимателя, подающих заявку в целях присоединения по второй и третьей категории надежности энергопринимающих устройств, максимальная мощность которых составляет до 150 кВт (с учетом ранее присоединенных в данной точке присоединения энергопринимающих устройств); объектов заявителей, подавших заявку в целях временного технологического присоединения. Получение разрешения на допуск в эксплуатацию объектов осуществляется с учетом положений п. 18(1)-18(4) Правил). 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Ø Осуществление сетевой организацией фактического присоединения объектов заявителя к электрическим сетям.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(энергопринимающих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Ø 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"включено");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Ø составление акта об осуществлении технологического присоединения, акта разграничения границ балансовой принадлежности сторон, акта разграничения эксплуатационной ответственности сторон, а также акта согласования технологической и (или) аварийной брони (для заявителей, указанных в пункте 14(2) Правил).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Мероприятия по технологическому присоединению включают в себя: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подготовку, выдачу сетевой организацией технических условий и их согласование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системах), а в случае выдачи технических условий электростанцией - согласование их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 и со смежными сетевыми организациями;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разработку сетевой организацией проектной документации согласно обязательствам, предусмотренным техническими условиями;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" w:name="P930"/>
      <w:bookmarkEnd w:id="1"/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разработку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выполнение технических условий заявителем и сетевой организацией,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условиями;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д) проверку выполнения заявителем и сетевой организацией технических условий в соответствии с разделом IX Правил, а также допуск к эксплуатации установленного в процессе технологического присоединения прибора учета электрической энергии, включающий составление акта допуска прибора учета к эксплуатации в </w:t>
      </w:r>
      <w:hyperlink r:id="rId10" w:history="1">
        <w:r w:rsidRPr="00E632D0">
          <w:rPr>
            <w:rFonts w:ascii="Arial" w:eastAsia="Times New Roman" w:hAnsi="Arial" w:cs="Arial"/>
            <w:color w:val="182D88"/>
            <w:sz w:val="21"/>
            <w:szCs w:val="21"/>
            <w:u w:val="single"/>
            <w:lang w:eastAsia="ru-RU"/>
          </w:rPr>
          <w:t>порядке</w:t>
        </w:r>
      </w:hyperlink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предусмотренном Основными положениями функционирования розничных рынков электрической энергии</w:t>
      </w:r>
      <w:bookmarkStart w:id="2" w:name="_ftnref1"/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"http://tp.mrsk-cp.ru/steps/the_list_and_the_order_of_events_for_legal_entities/" \l "_ftn1" \o "" </w:instrText>
      </w: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E632D0">
        <w:rPr>
          <w:rFonts w:ascii="Arial" w:eastAsia="Times New Roman" w:hAnsi="Arial" w:cs="Arial"/>
          <w:color w:val="182D88"/>
          <w:sz w:val="21"/>
          <w:szCs w:val="21"/>
          <w:u w:val="single"/>
          <w:lang w:eastAsia="ru-RU"/>
        </w:rPr>
        <w:t>[1]</w:t>
      </w: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bookmarkEnd w:id="2"/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порядке, </w:t>
      </w: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которые предусмотрены </w:t>
      </w:r>
      <w:hyperlink r:id="rId11" w:history="1">
        <w:r w:rsidRPr="00E632D0">
          <w:rPr>
            <w:rFonts w:ascii="Arial" w:eastAsia="Times New Roman" w:hAnsi="Arial" w:cs="Arial"/>
            <w:color w:val="182D88"/>
            <w:sz w:val="21"/>
            <w:szCs w:val="21"/>
            <w:u w:val="single"/>
            <w:lang w:eastAsia="ru-RU"/>
          </w:rPr>
          <w:t>разделом X</w:t>
        </w:r>
      </w:hyperlink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Основных положений функционирования розничных рынков электрической энергии, обеспечить приглашение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(мощности)), либо субъекта розничного рынка, с которым заявителем заключен указанный договор, для участия в процедуре допуска в эксплуатацию установленного в процессе технологического присоединения прибора учета электрической энергии, а также иных субъектов розничных рынков, приглашение которых для допуска в эксплуатацию прибора учета является обязательным в соответствии с </w:t>
      </w:r>
      <w:hyperlink r:id="rId12" w:history="1">
        <w:r w:rsidRPr="00E632D0">
          <w:rPr>
            <w:rFonts w:ascii="Arial" w:eastAsia="Times New Roman" w:hAnsi="Arial" w:cs="Arial"/>
            <w:color w:val="182D88"/>
            <w:sz w:val="21"/>
            <w:szCs w:val="21"/>
            <w:u w:val="single"/>
            <w:lang w:eastAsia="ru-RU"/>
          </w:rPr>
          <w:t>Основными положениями</w:t>
        </w:r>
      </w:hyperlink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функционирования розничных рынков электрической энергии. Сетевая организация несет перед заявителем ответственность за </w:t>
      </w:r>
      <w:proofErr w:type="spellStart"/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неприглашение</w:t>
      </w:r>
      <w:proofErr w:type="spellEnd"/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процедуру допуска прибора учета электрической энергии в эксплуатацию указанных в настоящем подпункте субъектов розничных рынков в сроки и в порядке, которые предусмотрены </w:t>
      </w:r>
      <w:hyperlink r:id="rId13" w:history="1">
        <w:r w:rsidRPr="00E632D0">
          <w:rPr>
            <w:rFonts w:ascii="Arial" w:eastAsia="Times New Roman" w:hAnsi="Arial" w:cs="Arial"/>
            <w:color w:val="182D88"/>
            <w:sz w:val="21"/>
            <w:szCs w:val="21"/>
            <w:u w:val="single"/>
            <w:lang w:eastAsia="ru-RU"/>
          </w:rPr>
          <w:t>разделом X</w:t>
        </w:r>
      </w:hyperlink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Основных положений функционирования розничных рынков электрической энергии, и должна возместить заявителю расходы, понесенные им в результате применения расчетных способов определения объемов </w:t>
      </w:r>
      <w:proofErr w:type="spellStart"/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безучетного</w:t>
      </w:r>
      <w:proofErr w:type="spellEnd"/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потребления электрической энергии в отношении соответствующих энергопринимающих устройств.</w:t>
      </w:r>
    </w:p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е) осмотр (обследование) присоединяемых энергопринимающих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устройств, а также соответствующего субъекта оперативно-диспетчерского управления в случае, если технические условия подлежат в соответствии с Правилами согласованию с таким субъектом оперативно-диспетчерского управления (за исключением заявителей, указанных в </w:t>
      </w:r>
      <w:hyperlink r:id="rId14" w:anchor="P746" w:history="1">
        <w:r w:rsidRPr="00E632D0">
          <w:rPr>
            <w:rFonts w:ascii="Arial" w:eastAsia="Times New Roman" w:hAnsi="Arial" w:cs="Arial"/>
            <w:color w:val="182D88"/>
            <w:sz w:val="21"/>
            <w:szCs w:val="21"/>
            <w:u w:val="single"/>
            <w:lang w:eastAsia="ru-RU"/>
          </w:rPr>
          <w:t>пункте 12</w:t>
        </w:r>
      </w:hyperlink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Правил, в случае осуществления технологического присоединения их энергопринимающих устройств к электрическим сетям классом напряжения до 20 </w:t>
      </w:r>
      <w:proofErr w:type="spellStart"/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</w:t>
      </w:r>
      <w:proofErr w:type="spellEnd"/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включительно и заявителей, указанных в </w:t>
      </w:r>
      <w:hyperlink r:id="rId15" w:anchor="P753" w:history="1">
        <w:r w:rsidRPr="00E632D0">
          <w:rPr>
            <w:rFonts w:ascii="Arial" w:eastAsia="Times New Roman" w:hAnsi="Arial" w:cs="Arial"/>
            <w:color w:val="182D88"/>
            <w:sz w:val="21"/>
            <w:szCs w:val="21"/>
            <w:u w:val="single"/>
            <w:lang w:eastAsia="ru-RU"/>
          </w:rPr>
          <w:t>пунктах 12(1)</w:t>
        </w:r>
      </w:hyperlink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hyperlink r:id="rId16" w:anchor="P765" w:history="1">
        <w:r w:rsidRPr="00E632D0">
          <w:rPr>
            <w:rFonts w:ascii="Arial" w:eastAsia="Times New Roman" w:hAnsi="Arial" w:cs="Arial"/>
            <w:color w:val="182D88"/>
            <w:sz w:val="21"/>
            <w:szCs w:val="21"/>
            <w:u w:val="single"/>
            <w:lang w:eastAsia="ru-RU"/>
          </w:rPr>
          <w:t>13</w:t>
        </w:r>
      </w:hyperlink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Правил), с выдачей заявителю акта осмотра электроустановки по форме, утверждаемой органом федерального государственного энергетического надзора;</w:t>
      </w:r>
    </w:p>
    <w:p w:rsidR="00E632D0" w:rsidRPr="00E632D0" w:rsidRDefault="00E632D0" w:rsidP="00E632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ж) 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"включено"). </w:t>
      </w:r>
    </w:p>
    <w:p w:rsidR="00E632D0" w:rsidRPr="00E632D0" w:rsidRDefault="00E632D0" w:rsidP="00E632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</w:p>
    <w:p w:rsidR="00E632D0" w:rsidRPr="00E632D0" w:rsidRDefault="00E632D0" w:rsidP="00E632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5" style="width:154.35pt;height:.75pt" o:hrpct="330" o:hrstd="t" o:hr="t" fillcolor="#a0a0a0" stroked="f"/>
        </w:pict>
      </w:r>
    </w:p>
    <w:bookmarkStart w:id="3" w:name="_ftn1"/>
    <w:p w:rsidR="00E632D0" w:rsidRPr="00E632D0" w:rsidRDefault="00E632D0" w:rsidP="00E632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"http://tp.mrsk-cp.ru/steps/the_list_and_the_order_of_events_for_legal_entities/" \l "_ftnref1" \o "" </w:instrText>
      </w: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E632D0">
        <w:rPr>
          <w:rFonts w:ascii="Arial" w:eastAsia="Times New Roman" w:hAnsi="Arial" w:cs="Arial"/>
          <w:color w:val="182D88"/>
          <w:sz w:val="21"/>
          <w:szCs w:val="21"/>
          <w:u w:val="single"/>
          <w:lang w:eastAsia="ru-RU"/>
        </w:rPr>
        <w:t>[1]</w:t>
      </w:r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bookmarkEnd w:id="3"/>
      <w:r w:rsidRPr="00E632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Постановление Правительства Российской Федерации от 4 мая 2012 года № 442 «О функционировании розничных рынков электрической энергии, полном и(или) частичном ограничении режима потребления электрической энергии». </w:t>
      </w:r>
    </w:p>
    <w:p w:rsidR="00E87367" w:rsidRDefault="00E87367" w:rsidP="00E632D0">
      <w:pPr>
        <w:jc w:val="both"/>
      </w:pPr>
    </w:p>
    <w:sectPr w:rsidR="00E87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CondC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98"/>
    <w:rsid w:val="00E632D0"/>
    <w:rsid w:val="00E87367"/>
    <w:rsid w:val="00FB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CCEB"/>
  <w15:chartTrackingRefBased/>
  <w15:docId w15:val="{913737D4-BD6E-41DA-B10C-B39AB4D9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3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4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2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8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1FC20FDDA87DF579312C6E3D20DB8626658A90A209A4B0EB6C07A6E0F84F9EE61C552340BAD433G1NFK" TargetMode="External"/><Relationship Id="rId13" Type="http://schemas.openxmlformats.org/officeDocument/2006/relationships/hyperlink" Target="consultantplus://offline/ref=CE1FC20FDDA87DF579312C6E3D20DB8626658A90A209A4B0EB6C07A6E0F84F9EE61C552340BAD331G1N7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1FC20FDDA87DF579312C6E3D20DB8626658A90A209A4B0EB6C07A6E0F84F9EE61C552340BAD331G1N7K" TargetMode="External"/><Relationship Id="rId12" Type="http://schemas.openxmlformats.org/officeDocument/2006/relationships/hyperlink" Target="consultantplus://offline/ref=CE1FC20FDDA87DF579312C6E3D20DB8626658A90A209A4B0EB6C07A6E0F84F9EE61C552340BAD433G1NF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tp.mrsk-cp.ru/steps/the_list_and_the_order_of_events_for_legal_entities/" TargetMode="External"/><Relationship Id="rId1" Type="http://schemas.openxmlformats.org/officeDocument/2006/relationships/styles" Target="styles.xml"/><Relationship Id="rId6" Type="http://schemas.openxmlformats.org/officeDocument/2006/relationships/hyperlink" Target="http://tp.mrsk-cp.ru/steps/the_list_and_the_order_of_events_for_individuals/" TargetMode="External"/><Relationship Id="rId11" Type="http://schemas.openxmlformats.org/officeDocument/2006/relationships/hyperlink" Target="consultantplus://offline/ref=CE1FC20FDDA87DF579312C6E3D20DB8626658A90A209A4B0EB6C07A6E0F84F9EE61C552340BAD331G1N7K" TargetMode="External"/><Relationship Id="rId5" Type="http://schemas.openxmlformats.org/officeDocument/2006/relationships/hyperlink" Target="consultantplus://offline/ref=CE1FC20FDDA87DF579312C6E3D20DB8626658A90A209A4B0EB6C07A6E0F84F9EE61C552340BADC30G1N7K" TargetMode="External"/><Relationship Id="rId15" Type="http://schemas.openxmlformats.org/officeDocument/2006/relationships/hyperlink" Target="http://tp.mrsk-cp.ru/steps/the_list_and_the_order_of_events_for_legal_entities/" TargetMode="External"/><Relationship Id="rId10" Type="http://schemas.openxmlformats.org/officeDocument/2006/relationships/hyperlink" Target="consultantplus://offline/ref=CE1FC20FDDA87DF579312C6E3D20DB8626658A90A209A4B0EB6C07A6E0F84F9EE61C552340BADC30G1N7K" TargetMode="External"/><Relationship Id="rId4" Type="http://schemas.openxmlformats.org/officeDocument/2006/relationships/hyperlink" Target="http://tp.mrsk-cp.ru/steps/the_list_and_the_order_of_events_for_individuals/" TargetMode="External"/><Relationship Id="rId9" Type="http://schemas.openxmlformats.org/officeDocument/2006/relationships/hyperlink" Target="consultantplus://offline/ref=CE1FC20FDDA87DF579312C6E3D20DB8626658A90A209A4B0EB6C07A6E0F84F9EE61C552340BAD331G1N7K" TargetMode="External"/><Relationship Id="rId14" Type="http://schemas.openxmlformats.org/officeDocument/2006/relationships/hyperlink" Target="http://tp.mrsk-cp.ru/steps/the_list_and_the_order_of_events_for_legal_enti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2649</Words>
  <Characters>15104</Characters>
  <Application>Microsoft Office Word</Application>
  <DocSecurity>0</DocSecurity>
  <Lines>125</Lines>
  <Paragraphs>35</Paragraphs>
  <ScaleCrop>false</ScaleCrop>
  <Company/>
  <LinksUpToDate>false</LinksUpToDate>
  <CharactersWithSpaces>17718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Козырчиков</dc:creator>
  <cp:keywords/>
  <dc:description/>
  <cp:lastModifiedBy>Сергей Козырчиков</cp:lastModifiedBy>
  <cp:revision>2</cp:revision>
  <dcterms:created xsi:type="dcterms:W3CDTF">2017-07-08T10:01:00Z</dcterms:created>
  <dcterms:modified xsi:type="dcterms:W3CDTF">2017-07-08T10:04:00Z</dcterms:modified>
</cp:coreProperties>
</file>